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05-327</w:t>
      </w:r>
      <w:r>
        <w:rPr>
          <w:rFonts w:ascii="Times New Roman" w:eastAsia="Times New Roman" w:hAnsi="Times New Roman" w:cs="Times New Roman"/>
        </w:rPr>
        <w:t>/2612/2026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0001-01-2026-000246-34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3 </w:t>
      </w:r>
      <w:r>
        <w:rPr>
          <w:rFonts w:ascii="Times New Roman" w:eastAsia="Times New Roman" w:hAnsi="Times New Roman" w:cs="Times New Roman"/>
        </w:rPr>
        <w:t>ст. 14.1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отношении: </w:t>
      </w:r>
      <w:r>
        <w:rPr>
          <w:rFonts w:ascii="Times New Roman" w:eastAsia="Times New Roman" w:hAnsi="Times New Roman" w:cs="Times New Roman"/>
        </w:rPr>
        <w:t>юридического лица 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Style w:val="cat-UserDefinedgrp-46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17.12.2025 года в период с 23 час. 12 мин. по 23 час. 16 мин. по адресу: </w:t>
      </w:r>
      <w:r>
        <w:rPr>
          <w:rStyle w:val="cat-User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имеющее лицензию № 86 АА 002796 от 13.07.2016 года сроком действия до 12.07.2029 года, выданную на осуществление деятельности по розничной продаже алкогольной продукции, </w:t>
      </w:r>
      <w:r>
        <w:rPr>
          <w:rFonts w:ascii="Times New Roman" w:eastAsia="Times New Roman" w:hAnsi="Times New Roman" w:cs="Times New Roman"/>
        </w:rPr>
        <w:t>нарушило: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требования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п. 9 ст. 16 ФЗ № 171-ФЗ, осуществи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розничную продажу алкогольной продукции в период с 23 часов 12 мин. до 23 часов 16 мин. по местному времени, а именно: реализована одна бутылка водки «Старая Казань люкс», объемом 0,75 л., ФСМ 407 62410819 стоимостью 700 руб. 00 </w:t>
      </w:r>
      <w:r>
        <w:rPr>
          <w:rFonts w:ascii="Times New Roman" w:eastAsia="Times New Roman" w:hAnsi="Times New Roman" w:cs="Times New Roman"/>
        </w:rPr>
        <w:t>коп.;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требования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12 п. 10 ст. 16 ФЗ № 171-ФЗ, осуществив розничную продажу одной бутылки водки «Старая Казань люкс», объемом 0,75 л., ФСМ 407 62410819 стоимостью 700 руб. 00 коп. без применения контрольно-кассовой техники;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требования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 п. 2 ст. 16 ФЗ № 171-ФЗ, осуществив розничную продажу одной бутылки водки «Старая Казань люкс», объемом 0,75 л., ФСМ 407 62410819 стоимостью 700 руб. 00 коп.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Данное обстоятельство послужило основание для составления главным специалистом – экспертом отдела контроля и административного производства управления лицензирования Департамента экономического развития ХМАО-Югры 19.01.2026 года в отношении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>» протокола № 186/2025 об административном правонарушении по ч. 3 ст. 14.16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года № 343.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 считает возможным рассмотреть дело в отсутствие законного представителя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пищевая </w:t>
      </w:r>
      <w:r>
        <w:rPr>
          <w:rFonts w:ascii="Times New Roman" w:eastAsia="Times New Roman" w:hAnsi="Times New Roman" w:cs="Times New Roman"/>
        </w:rPr>
        <w:t>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5489/paragraph/11467512/number/0" w:history="1">
        <w:r>
          <w:rPr>
            <w:rFonts w:ascii="Times New Roman" w:eastAsia="Times New Roman" w:hAnsi="Times New Roman" w:cs="Times New Roman"/>
            <w:color w:val="0000EE"/>
          </w:rPr>
          <w:t>перечнем</w:t>
        </w:r>
      </w:hyperlink>
      <w:r>
        <w:rPr>
          <w:rFonts w:ascii="Times New Roman" w:eastAsia="Times New Roman" w:hAnsi="Times New Roman" w:cs="Times New Roman"/>
        </w:rPr>
        <w:t xml:space="preserve">, установленным Правительством Российской Федерации. 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>
        <w:rPr>
          <w:rFonts w:ascii="Times New Roman" w:eastAsia="Times New Roman" w:hAnsi="Times New Roman" w:cs="Times New Roman"/>
        </w:rPr>
        <w:t>виноградосодержащие</w:t>
      </w:r>
      <w:r>
        <w:rPr>
          <w:rFonts w:ascii="Times New Roman" w:eastAsia="Times New Roman" w:hAnsi="Times New Roman" w:cs="Times New Roman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>
        <w:rPr>
          <w:rFonts w:ascii="Times New Roman" w:eastAsia="Times New Roman" w:hAnsi="Times New Roman" w:cs="Times New Roman"/>
        </w:rPr>
        <w:t>пуаре</w:t>
      </w:r>
      <w:r>
        <w:rPr>
          <w:rFonts w:ascii="Times New Roman" w:eastAsia="Times New Roman" w:hAnsi="Times New Roman" w:cs="Times New Roman"/>
        </w:rPr>
        <w:t>, медовуха.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Исходя из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24 п. 1 ст. 26 Ф</w:t>
      </w:r>
      <w:r>
        <w:rPr>
          <w:rFonts w:ascii="Times New Roman" w:eastAsia="Times New Roman" w:hAnsi="Times New Roman" w:cs="Times New Roman"/>
        </w:rPr>
        <w:t xml:space="preserve">едерального закона </w:t>
      </w:r>
      <w:r>
        <w:rPr>
          <w:rFonts w:ascii="Times New Roman" w:eastAsia="Times New Roman" w:hAnsi="Times New Roman" w:cs="Times New Roman"/>
        </w:rPr>
        <w:t>№ 171-ФЗ в области производства и оборота этилового спирта, алкогольной и спиртосодержащей продукции, запрещается розничная продажа алкогольной продукции с нарушением требований ст. 16 ФЗ № 171-ФЗ.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 xml:space="preserve">атье </w:t>
      </w:r>
      <w:r>
        <w:rPr>
          <w:rFonts w:ascii="Times New Roman" w:eastAsia="Times New Roman" w:hAnsi="Times New Roman" w:cs="Times New Roman"/>
        </w:rPr>
        <w:t xml:space="preserve">16 </w:t>
      </w:r>
      <w:r>
        <w:rPr>
          <w:rFonts w:ascii="Times New Roman" w:eastAsia="Times New Roman" w:hAnsi="Times New Roman" w:cs="Times New Roman"/>
        </w:rPr>
        <w:t xml:space="preserve">названного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едерального закона </w:t>
      </w:r>
      <w:r>
        <w:rPr>
          <w:rFonts w:ascii="Times New Roman" w:eastAsia="Times New Roman" w:hAnsi="Times New Roman" w:cs="Times New Roman"/>
        </w:rPr>
        <w:t>предъявляются особые требования к розничной продаже алкогольной продукции.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 правилам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 п. 9 ст. 16 </w:t>
      </w:r>
      <w:r>
        <w:rPr>
          <w:rFonts w:ascii="Times New Roman" w:eastAsia="Times New Roman" w:hAnsi="Times New Roman" w:cs="Times New Roman"/>
        </w:rPr>
        <w:t>Федерального закона</w:t>
      </w:r>
      <w:r>
        <w:rPr>
          <w:rFonts w:ascii="Times New Roman" w:eastAsia="Times New Roman" w:hAnsi="Times New Roman" w:cs="Times New Roman"/>
        </w:rPr>
        <w:t xml:space="preserve"> № 171-ФЗ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 при оказании организациям услуг общественного питания.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 п. 9 ст. 16 Федерального закона № 171-ФЗ 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1 ст. 4 Закона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</w:t>
      </w:r>
      <w:r>
        <w:rPr>
          <w:rFonts w:ascii="Times New Roman" w:eastAsia="Times New Roman" w:hAnsi="Times New Roman" w:cs="Times New Roman"/>
        </w:rPr>
        <w:t xml:space="preserve"> – Югре» (далее – Закон № 46-оз)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>
        <w:rPr>
          <w:rFonts w:ascii="Times New Roman" w:eastAsia="Times New Roman" w:hAnsi="Times New Roman" w:cs="Times New Roman"/>
        </w:rPr>
        <w:t>пуаре</w:t>
      </w:r>
      <w:r>
        <w:rPr>
          <w:rFonts w:ascii="Times New Roman" w:eastAsia="Times New Roman" w:hAnsi="Times New Roman" w:cs="Times New Roman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 п. 2 ст. 16 Федерального закона № 171-ФЗ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5489/entry/163" w:history="1">
        <w:r>
          <w:rPr>
            <w:rFonts w:ascii="Times New Roman" w:eastAsia="Times New Roman" w:hAnsi="Times New Roman" w:cs="Times New Roman"/>
            <w:color w:val="0000EE"/>
          </w:rPr>
          <w:t>пунктах 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5489/entry/1660" w:history="1">
        <w:r>
          <w:rPr>
            <w:rFonts w:ascii="Times New Roman" w:eastAsia="Times New Roman" w:hAnsi="Times New Roman" w:cs="Times New Roman"/>
            <w:color w:val="0000EE"/>
          </w:rPr>
          <w:t>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данной</w:t>
      </w:r>
      <w:r>
        <w:rPr>
          <w:rFonts w:ascii="Times New Roman" w:eastAsia="Times New Roman" w:hAnsi="Times New Roman" w:cs="Times New Roman"/>
        </w:rPr>
        <w:t xml:space="preserve"> статьи, не допускаются без предоставления покупателю документа с наличием на нем штрихового кода, содержащего сведения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74909446/entry/1000" w:history="1">
        <w:r>
          <w:rPr>
            <w:rFonts w:ascii="Times New Roman" w:eastAsia="Times New Roman" w:hAnsi="Times New Roman" w:cs="Times New Roman"/>
            <w:color w:val="0000EE"/>
          </w:rPr>
          <w:t>перечню</w:t>
        </w:r>
      </w:hyperlink>
      <w:r>
        <w:rPr>
          <w:rFonts w:ascii="Times New Roman" w:eastAsia="Times New Roman" w:hAnsi="Times New Roman" w:cs="Times New Roman"/>
        </w:rPr>
        <w:t>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системе, за исключением случаев,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5489/entry/8021" w:history="1">
        <w:r>
          <w:rPr>
            <w:rFonts w:ascii="Times New Roman" w:eastAsia="Times New Roman" w:hAnsi="Times New Roman" w:cs="Times New Roman"/>
            <w:color w:val="0000EE"/>
          </w:rPr>
          <w:t>п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</w:rPr>
          <w:t>2.1 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 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№ 171-ФЗ.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12 п. 10 ст. 16 Федерального закона №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24 п. 1 ст. 26 Федерального закона № 171-ФЗ запрещена розничная продажа алкогольной продукции с нарушением требований ст. 16 Федерального закона № 171-ФЗ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совершении инкриминируемого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№ </w:t>
      </w:r>
      <w:r>
        <w:rPr>
          <w:rFonts w:ascii="Times New Roman" w:eastAsia="Times New Roman" w:hAnsi="Times New Roman" w:cs="Times New Roman"/>
        </w:rPr>
        <w:t>186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определение о возбуждении дела об административном прав</w:t>
      </w:r>
      <w:r>
        <w:rPr>
          <w:rFonts w:ascii="Times New Roman" w:eastAsia="Times New Roman" w:hAnsi="Times New Roman" w:cs="Times New Roman"/>
        </w:rPr>
        <w:t>онарушении № 186</w:t>
      </w:r>
      <w:r>
        <w:rPr>
          <w:rFonts w:ascii="Times New Roman" w:eastAsia="Times New Roman" w:hAnsi="Times New Roman" w:cs="Times New Roman"/>
        </w:rPr>
        <w:t>/2025 и о проведении административного расследования</w:t>
      </w:r>
      <w:r>
        <w:rPr>
          <w:rFonts w:ascii="Times New Roman" w:eastAsia="Times New Roman" w:hAnsi="Times New Roman" w:cs="Times New Roman"/>
        </w:rPr>
        <w:t xml:space="preserve"> от 18.12.2025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внеплановой контрольной закупки № 132 от 18.12.2025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эксперимента от 17.12.2025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осмотра;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изъятия вещей и документов № 186/2025</w:t>
      </w:r>
      <w:r>
        <w:rPr>
          <w:rFonts w:ascii="Times New Roman" w:eastAsia="Times New Roman" w:hAnsi="Times New Roman" w:cs="Times New Roman"/>
        </w:rPr>
        <w:t xml:space="preserve"> от 18.12.2025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ЕГРН;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диск с видеозаписью к акту внеплановой контрольной закупки от 18.12.2025 № 132;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</w:t>
      </w:r>
      <w:r>
        <w:rPr>
          <w:rFonts w:ascii="Times New Roman" w:eastAsia="Times New Roman" w:hAnsi="Times New Roman" w:cs="Times New Roman"/>
        </w:rPr>
        <w:t xml:space="preserve">вой судья квалифицирует по </w:t>
      </w:r>
      <w:r>
        <w:rPr>
          <w:rFonts w:ascii="Times New Roman" w:eastAsia="Times New Roman" w:hAnsi="Times New Roman" w:cs="Times New Roman"/>
        </w:rPr>
        <w:t>ч. 3 ст. 14.16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особых требований и правил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розничной продажи алкогольной и спиртосодержащей продукции, за исключением случаев,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6" w:anchor="dst7946" w:history="1">
        <w:r>
          <w:rPr>
            <w:rFonts w:ascii="Times New Roman" w:eastAsia="Times New Roman" w:hAnsi="Times New Roman" w:cs="Times New Roman"/>
            <w:color w:val="0000EE"/>
          </w:rPr>
          <w:t>ч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</w:rPr>
          <w:t>2 ст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</w:rPr>
          <w:t>14.17.1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или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Равным образом отсутствуют о</w:t>
      </w:r>
      <w:r>
        <w:rPr>
          <w:rFonts w:ascii="Times New Roman" w:eastAsia="Times New Roman" w:hAnsi="Times New Roman" w:cs="Times New Roman"/>
        </w:rPr>
        <w:t xml:space="preserve">снования для применения положений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2.9,</w:t>
      </w:r>
      <w:r>
        <w:rPr>
          <w:rFonts w:ascii="Times New Roman" w:eastAsia="Times New Roman" w:hAnsi="Times New Roman" w:cs="Times New Roman"/>
        </w:rPr>
        <w:t xml:space="preserve"> 4.1.1 и </w:t>
      </w:r>
      <w:hyperlink r:id="rId7" w:anchor="/document/12125267/entry/41022" w:history="1">
        <w:r>
          <w:rPr>
            <w:rFonts w:ascii="Times New Roman" w:eastAsia="Times New Roman" w:hAnsi="Times New Roman" w:cs="Times New Roman"/>
            <w:color w:val="0000EE"/>
          </w:rPr>
          <w:t>ч. 2.2 ст. 4.1</w:t>
        </w:r>
      </w:hyperlink>
      <w:r>
        <w:rPr>
          <w:rFonts w:ascii="Times New Roman" w:eastAsia="Times New Roman" w:hAnsi="Times New Roman" w:cs="Times New Roman"/>
        </w:rPr>
        <w:t xml:space="preserve"> КоАП РФ,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поскольку данным правонарушением, заключающимся в нарушении особых требований и правил розничной продажи алкогольной и спиртосодержащей продукции, создана угроза причинения вреда жизни и здоровью людей.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</w:rPr>
        <w:t>Голд</w:t>
      </w:r>
      <w:r>
        <w:rPr>
          <w:rFonts w:ascii="Times New Roman" w:eastAsia="Times New Roman" w:hAnsi="Times New Roman" w:cs="Times New Roman"/>
        </w:rPr>
        <w:t xml:space="preserve">» (ИНН 8602218954)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 3 ст.14.16</w:t>
      </w:r>
      <w:r>
        <w:rPr>
          <w:rFonts w:ascii="Times New Roman" w:eastAsia="Times New Roman" w:hAnsi="Times New Roman" w:cs="Times New Roman"/>
        </w:rPr>
        <w:t xml:space="preserve"> КоАП РФ, и подвергнуть административному наказанию в виде штрафа в размере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000,00 (сто тысяч) рублей с конфискацией алкогольной продукции, </w:t>
      </w:r>
      <w:r>
        <w:rPr>
          <w:rFonts w:ascii="Times New Roman" w:eastAsia="Times New Roman" w:hAnsi="Times New Roman" w:cs="Times New Roman"/>
        </w:rPr>
        <w:t xml:space="preserve">изъятой согласно протоколу </w:t>
      </w:r>
      <w:r>
        <w:rPr>
          <w:rFonts w:ascii="Times New Roman" w:eastAsia="Times New Roman" w:hAnsi="Times New Roman" w:cs="Times New Roman"/>
        </w:rPr>
        <w:t>изъятия вещей и документов № 186</w:t>
      </w:r>
      <w:r>
        <w:rPr>
          <w:rFonts w:ascii="Times New Roman" w:eastAsia="Times New Roman" w:hAnsi="Times New Roman" w:cs="Times New Roman"/>
        </w:rPr>
        <w:t>/2025 от 18.12.2025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 xml:space="preserve">производить на следующие реквизиты: </w:t>
      </w:r>
      <w:r>
        <w:rPr>
          <w:rFonts w:ascii="Times New Roman" w:eastAsia="Times New Roman" w:hAnsi="Times New Roman" w:cs="Times New Roman"/>
        </w:rPr>
        <w:t>УФК по Ханты-Мансийскому автономному округу – Югре (</w:t>
      </w:r>
      <w:r>
        <w:rPr>
          <w:rFonts w:ascii="Times New Roman" w:eastAsia="Times New Roman" w:hAnsi="Times New Roman" w:cs="Times New Roman"/>
        </w:rPr>
        <w:t>Депэкономики</w:t>
      </w:r>
      <w:r>
        <w:rPr>
          <w:rFonts w:ascii="Times New Roman" w:eastAsia="Times New Roman" w:hAnsi="Times New Roman" w:cs="Times New Roman"/>
        </w:rPr>
        <w:t xml:space="preserve"> Югры), л/с 04872025880, ИНН 8601003963, КПП 860101001, РКЦ Ханты-Мансийск, г. Ханты-Мансийск, номер казначейского счета 03100643000000018700, ЕКС 40102810245370000007, БИК 007162163, ОКТМО 71883000, КБК 60011601333010400140, УИН 0319323200000000042459674.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327</w:t>
      </w:r>
      <w:r>
        <w:rPr>
          <w:rFonts w:ascii="Times New Roman" w:eastAsia="Times New Roman" w:hAnsi="Times New Roman" w:cs="Times New Roman"/>
        </w:rPr>
        <w:t>/2612/2026</w:t>
      </w: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4362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8">
    <w:name w:val="cat-UserDefined grp-46 rplc-8"/>
    <w:basedOn w:val="DefaultParagraphFont"/>
  </w:style>
  <w:style w:type="character" w:customStyle="1" w:styleId="cat-UserDefinedgrp-47rplc-14">
    <w:name w:val="cat-UserDefined grp-47 rplc-1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consultant.ru/document/cons_doc_LAW_34661/942d86d9d34c2b3a67505bafd202c4d9ed401a7e/" TargetMode="External" /><Relationship Id="rId6" Type="http://schemas.openxmlformats.org/officeDocument/2006/relationships/hyperlink" Target="https://www.consultant.ru/document/cons_doc_LAW_527220/937fa1eed3a74875bc781faddcb0af4162d3cee7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6F51-6B6C-4247-8766-617E1F47B4C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